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Time Tracking Software Evaluation Log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Track billable hours, productivity needs, and software fit.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Weekly time audit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Day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Client / project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Billable hrs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Admin hrs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Lost time reason</w:t>
            </w:r>
          </w:p>
        </w:tc>
      </w:tr>
      <w:tr>
        <w:trPr>
          <w:trHeight w:hRule="exact" w:val="68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Mon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Tue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Wed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8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Thu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Fri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Sat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0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Sun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Software fit checklist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4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Timer app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Manual entries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Invoice export</w:t>
            </w:r>
          </w:p>
        </w:tc>
      </w:tr>
      <w:tr>
        <w:trPr>
          <w:trHeight w:hRule="exact" w:val="44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Team approvals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Project reports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Mobile tracking</w:t>
            </w:r>
          </w:p>
        </w:tc>
      </w:tr>
    </w:tbl>
    <w:p>
      <w:pPr>
        <w:autoSpaceDN w:val="0"/>
        <w:autoSpaceDE w:val="0"/>
        <w:widowControl/>
        <w:spacing w:line="206" w:lineRule="auto" w:before="200" w:after="92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Monthly improvement target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766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Current weekly lost hours</w:t>
            </w:r>
          </w:p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Target reduction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64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Main bottleneck</w:t>
            </w:r>
          </w:p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Action owner</w:t>
            </w:r>
          </w:p>
        </w:tc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3982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Time Tracking Software Audit Worksheet PDF</dc:title>
  <dc:subject>Editable printable template</dc:subject>
  <dc:creator>officeprintable.com</dc:creator>
  <cp:keywords>Free Time Tracking Software Audit Worksheet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