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Project Issue Log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open issues, owners, severity, dates, and resolution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Project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Issue owner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Status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Severity scale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Issue Log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