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45" w:lineRule="auto" w:before="0" w:after="0"/>
        <w:ind w:left="864" w:right="864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 xml:space="preserve">Office Solutions Problem-to-Process </w:t>
      </w:r>
      <w:r>
        <w:rPr>
          <w:rFonts w:ascii="DejaVu Sans" w:hAnsi="DejaVu Sans" w:eastAsia="DejaVu Sans"/>
          <w:b/>
          <w:i w:val="0"/>
          <w:color w:val="28251D"/>
          <w:sz w:val="44"/>
        </w:rPr>
        <w:t>Planner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Turn messy office problems into repeatable processes.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Problem diagnosis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707"/>
        <w:gridCol w:w="2707"/>
        <w:gridCol w:w="2707"/>
        <w:gridCol w:w="2707"/>
      </w:tblGrid>
      <w:tr>
        <w:trPr>
          <w:trHeight w:hRule="exact" w:val="432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Problem</w:t>
            </w:r>
          </w:p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Who is affected?</w:t>
            </w:r>
          </w:p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Frequency</w:t>
            </w:r>
          </w:p>
        </w:tc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Cost / impact</w:t>
            </w:r>
          </w:p>
        </w:tc>
      </w:tr>
      <w:tr>
        <w:trPr>
          <w:trHeight w:hRule="exact" w:val="720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20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20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20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20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Solution canvas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38.0000000000001" w:type="dxa"/>
      </w:tblPr>
      <w:tblGrid>
        <w:gridCol w:w="3609"/>
        <w:gridCol w:w="3609"/>
        <w:gridCol w:w="3609"/>
      </w:tblGrid>
      <w:tr>
        <w:trPr>
          <w:trHeight w:hRule="exact" w:val="432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Manual fix</w:t>
            </w:r>
          </w:p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Tool/software fix</w:t>
            </w:r>
          </w:p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Process fix</w:t>
            </w:r>
          </w:p>
        </w:tc>
      </w:tr>
      <w:tr>
        <w:trPr>
          <w:trHeight w:hRule="exact" w:val="892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94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92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200" w:after="92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30-day follow-up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707"/>
        <w:gridCol w:w="2707"/>
        <w:gridCol w:w="2707"/>
        <w:gridCol w:w="2707"/>
      </w:tblGrid>
      <w:tr>
        <w:trPr>
          <w:trHeight w:hRule="exact" w:val="432"/>
        </w:trPr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6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Metric</w:t>
            </w:r>
          </w:p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6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Before</w:t>
            </w:r>
          </w:p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6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After</w:t>
            </w:r>
          </w:p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6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Improved?</w:t>
            </w:r>
          </w:p>
        </w:tc>
      </w:tr>
      <w:tr>
        <w:trPr>
          <w:trHeight w:hRule="exact" w:val="648"/>
        </w:trPr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6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48"/>
        </w:trPr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6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48"/>
        </w:trPr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6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48"/>
        </w:trPr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6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</w:tbl>
    <w:p>
      <w:pPr>
        <w:autoSpaceDN w:val="0"/>
        <w:autoSpaceDE w:val="0"/>
        <w:widowControl/>
        <w:spacing w:line="206" w:lineRule="auto" w:before="980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Office Solutions Problem-to-Process Planner PDF</dc:title>
  <dc:subject>Editable printable template</dc:subject>
  <dc:creator>officeprintable.com</dc:creator>
  <cp:keywords>Free Office Solutions Problem-to-Process Planner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