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720" w:right="72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Direct Office Furniture Vendor Quote </w:t>
      </w:r>
      <w:r>
        <w:rPr>
          <w:rFonts w:ascii="DejaVu Sans" w:hAnsi="DejaVu Sans" w:eastAsia="DejaVu Sans"/>
          <w:b/>
          <w:i w:val="0"/>
          <w:color w:val="28251D"/>
          <w:sz w:val="44"/>
        </w:rPr>
        <w:t>Sheet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Compare direct supplier quotes and delivery terms.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Quote comparison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805"/>
        <w:gridCol w:w="1805"/>
        <w:gridCol w:w="1805"/>
        <w:gridCol w:w="1805"/>
        <w:gridCol w:w="1805"/>
        <w:gridCol w:w="1805"/>
      </w:tblGrid>
      <w:tr>
        <w:trPr>
          <w:trHeight w:hRule="exact" w:val="510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Supplier</w:t>
            </w:r>
          </w:p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Item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Unit price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Qty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Delivery</w:t>
            </w:r>
          </w:p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Total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2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  <w:tr>
        <w:trPr>
          <w:trHeight w:hRule="exact" w:val="714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79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Purchase terms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5414"/>
        <w:gridCol w:w="5414"/>
      </w:tblGrid>
      <w:tr>
        <w:trPr>
          <w:trHeight w:hRule="exact" w:val="442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Return policy confirmed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Assembly included</w:t>
            </w:r>
          </w:p>
        </w:tc>
      </w:tr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Bulk discount requested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Warranty in writing</w:t>
            </w:r>
          </w:p>
        </w:tc>
      </w:tr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Delivery window confirmed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Damage process documented</w:t>
            </w:r>
          </w:p>
        </w:tc>
      </w:tr>
      <w:tr>
        <w:trPr>
          <w:trHeight w:hRule="exact" w:val="51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Final decision notes</w:t>
            </w:r>
          </w:p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8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96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Office Furniture Direct Vendor Quote Sheet PDF</dc:title>
  <dc:subject>Editable printable template</dc:subject>
  <dc:creator>officeprintable.com</dc:creator>
  <cp:keywords>Free Office Furniture Direct Vendor Quote Sheet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