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Medication Schedule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medication times, doses, refill notes, and daily checkboxes.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Person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Week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Medication list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Pharmacy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Morning</w:t>
            </w:r>
          </w:p>
        </w:tc>
        <w:tc>
          <w:tcPr>
            <w:tcW w:type="dxa" w:w="5328"/>
          </w:tcPr>
          <w:p>
            <w:r>
              <w:t>[ ] Evening</w:t>
            </w:r>
          </w:p>
        </w:tc>
      </w:tr>
    </w:tbl>
    <w:p>
      <w:r>
        <w:rPr>
          <w:rFonts w:ascii="Arial" w:hAnsi="Arial"/>
          <w:color w:val="7A7974"/>
          <w:sz w:val="16"/>
        </w:rPr>
        <w:t>Informational only, not medical advice. Contact a qualified professional for medical questions.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Schedule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