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First Aid Kit Checklist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BASIC FIRST AID KIT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 practical printable checklist for checking and restocking home, travel, or office first aid supplies.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Safety note: This checklist is for general organization only and is not medical advice. For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serious injury, illness, poisoning, allergic reaction, chest pain, or any emergency, call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local emergency services or a qualified medical professional.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Wound care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Medicines to review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Adhesive bandages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Pain reliever approved for your household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Sterile gauze pads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Antacid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Non-stick wound pads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Antihistamine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Medical tape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Any personal prescriptions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Antiseptic wipes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Medication list and emergency contacts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Basic tools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Maintenance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Disposable gloves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Check expiry dates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Tweezers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Replace used items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Small scissors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Store in a dry location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Safety pins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Keep out of reach of children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Digital thermometer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Review after each trip or incident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Wraps and support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Elastic bandage roll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Triangular bandage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Instant cold pack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Burn gel or dressing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Clean towel or cloth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Cleaning supplies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Sterile/distilled water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Hand sanitizer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Soap or cleansing wipes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Waste bag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Cotton swabs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First Aid Kit Checklist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