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Equipment Checkout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equipment issued to staff, condition, dates, and return notes.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Equipment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Serial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Issued by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Checkout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