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Emergency Contact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emergency contact details ready for home, office, travel, or school folders.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Primary contact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Backup contact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Important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emergency organization only. Call emergency services when immediate help is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