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Business Supplies Budget Tracker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Control recurring supply spend for a small office or home business.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Monthly supply budget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Category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Budget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Actual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Variance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Notes</w:t>
            </w:r>
          </w:p>
        </w:tc>
      </w:tr>
      <w:tr>
        <w:trPr>
          <w:trHeight w:hRule="exact" w:val="68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Paper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Ink / toner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Shipping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78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Cleaning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Breakroom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Desk supplies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Other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Reorder rule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510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Supply</w:t>
            </w:r>
          </w:p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Minimum stock</w:t>
            </w:r>
          </w:p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Preferred vendor</w:t>
            </w:r>
          </w:p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Order day</w:t>
            </w:r>
          </w:p>
        </w:tc>
      </w:tr>
      <w:tr>
        <w:trPr>
          <w:trHeight w:hRule="exact" w:val="730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2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0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0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2"/>
        </w:trPr>
        <w:tc>
          <w:tcPr>
            <w:tcW w:type="dxa" w:w="237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2794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Business Supplies Budget and Reorder Tracker PDF</dc:title>
  <dc:subject>Editable printable template</dc:subject>
  <dc:creator>officeprintable.com</dc:creator>
  <cp:keywords>Free Business Supplies Budget and Reorder Tracker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